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June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Coon Valley Conservation Club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185A Lee Ln. Coon Valley, WI, 54623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June 5,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Eat &amp; Greet! Food Served: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Meeting: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0 p.m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Secretary's Report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Treasurer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Nature Conservancy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Ag., Trade, and Consumer Protection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Rural Climate Partnership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Compeer General Use Grant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Federal flood control dam decommissioning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Management Training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Volunteers needed June 11, 12:30-2:00 Southside Neighborhood Center for Knutson Library Outreach Event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Walking with Water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zine release</w:t>
      </w:r>
    </w:p>
    <w:p w:rsidR="00000000" w:rsidDel="00000000" w:rsidP="00000000" w:rsidRDefault="00000000" w:rsidRPr="00000000" w14:paraId="0000001E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Presentation: Toby Lee and Joan Greendeer-Lee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eeting date and location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Highland Farm, E7630 Rognstad Ridge, Cashton, WI. July 3, 2024. Bring lawnchairs and picnicware!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xAxrcp37fEhSSOCARHRWzUIjLw==">CgMxLjA4AHIhMUdZME9TU3AtOHRVbzF0WWtWT2d4bVMyQi1icGdTWVBL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